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883" w:firstLineChars="200"/>
        <w:jc w:val="center"/>
        <w:outlineLvl w:val="0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《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汽车车身碰撞估损</w:t>
      </w:r>
      <w:r>
        <w:rPr>
          <w:rFonts w:hint="eastAsia" w:ascii="黑体" w:hAnsi="宋体" w:eastAsia="黑体"/>
          <w:b/>
          <w:sz w:val="44"/>
          <w:szCs w:val="44"/>
        </w:rPr>
        <w:t>》课程标准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一、课程基本情况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课程名称：</w:t>
      </w:r>
      <w:r>
        <w:rPr>
          <w:rFonts w:hint="eastAsia" w:eastAsia="仿宋_GB2312"/>
          <w:kern w:val="0"/>
          <w:sz w:val="28"/>
          <w:szCs w:val="28"/>
        </w:rPr>
        <w:t> </w:t>
      </w:r>
      <w:r>
        <w:rPr>
          <w:rFonts w:hint="eastAsia" w:eastAsia="仿宋_GB2312"/>
          <w:kern w:val="0"/>
          <w:sz w:val="28"/>
          <w:szCs w:val="28"/>
          <w:lang w:eastAsia="zh-CN"/>
        </w:rPr>
        <w:t>汽车车身碰撞估损</w:t>
      </w:r>
      <w:r>
        <w:rPr>
          <w:rFonts w:hint="eastAsia" w:eastAsia="仿宋_GB2312"/>
          <w:kern w:val="0"/>
          <w:sz w:val="28"/>
          <w:szCs w:val="28"/>
        </w:rPr>
        <w:t>    </w:t>
      </w:r>
      <w:r>
        <w:rPr>
          <w:rFonts w:hint="eastAsia" w:ascii="仿宋_GB2312" w:hAnsi="宋体" w:eastAsia="仿宋_GB2312"/>
          <w:kern w:val="0"/>
          <w:sz w:val="28"/>
          <w:szCs w:val="28"/>
        </w:rPr>
        <w:t>课程编码：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课程性质：必修课 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>课程类型：理论+实践课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总学时：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72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总学分：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考核方式： 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过程考核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适应专业：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汽车维修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汽车钣金   汽车制造   汽车营销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                           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课程简介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本课程是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汽车维修、钣金维修、汽车制造、汽车营销</w:t>
      </w:r>
      <w:r>
        <w:rPr>
          <w:rFonts w:hint="eastAsia" w:ascii="仿宋" w:hAnsi="仿宋" w:eastAsia="仿宋"/>
          <w:color w:val="000000"/>
          <w:sz w:val="28"/>
          <w:szCs w:val="28"/>
        </w:rPr>
        <w:t>专业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的必修</w:t>
      </w:r>
      <w:r>
        <w:rPr>
          <w:rFonts w:hint="eastAsia" w:ascii="仿宋" w:hAnsi="仿宋" w:eastAsia="仿宋"/>
          <w:color w:val="000000"/>
          <w:sz w:val="28"/>
          <w:szCs w:val="28"/>
        </w:rPr>
        <w:t>课，按照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与行业企业合作进行基于工作要求的课程开发和设计的要求，以及</w:t>
      </w:r>
      <w:r>
        <w:rPr>
          <w:rFonts w:hint="eastAsia" w:ascii="仿宋" w:hAnsi="仿宋" w:eastAsia="仿宋"/>
          <w:color w:val="000000"/>
          <w:sz w:val="28"/>
          <w:szCs w:val="28"/>
        </w:rPr>
        <w:t>汽车维修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专业、钣金维修专业、汽车制造专业、汽车营销专业教学</w:t>
      </w:r>
      <w:r>
        <w:rPr>
          <w:rFonts w:hint="eastAsia" w:ascii="仿宋" w:hAnsi="仿宋" w:eastAsia="仿宋"/>
          <w:color w:val="000000"/>
          <w:sz w:val="28"/>
          <w:szCs w:val="28"/>
        </w:rPr>
        <w:t>对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汽车车身碰撞估损</w:t>
      </w:r>
      <w:r>
        <w:rPr>
          <w:rFonts w:hint="eastAsia" w:ascii="仿宋" w:hAnsi="仿宋" w:eastAsia="仿宋"/>
          <w:color w:val="000000"/>
          <w:sz w:val="28"/>
          <w:szCs w:val="28"/>
        </w:rPr>
        <w:t>作业相关要求设计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理论知识学习与</w:t>
      </w:r>
      <w:r>
        <w:rPr>
          <w:rFonts w:hint="eastAsia" w:ascii="仿宋" w:hAnsi="仿宋" w:eastAsia="仿宋"/>
          <w:color w:val="000000"/>
          <w:sz w:val="28"/>
          <w:szCs w:val="28"/>
        </w:rPr>
        <w:t>实训任务。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</w:rPr>
        <w:t>内容包括汽车车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身</w:t>
      </w:r>
      <w:r>
        <w:rPr>
          <w:rFonts w:hint="eastAsia" w:ascii="仿宋" w:hAnsi="仿宋" w:eastAsia="仿宋" w:cs="仿宋"/>
          <w:sz w:val="28"/>
          <w:szCs w:val="28"/>
        </w:rPr>
        <w:t>结构知识、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车身碰撞</w:t>
      </w:r>
      <w:r>
        <w:rPr>
          <w:rFonts w:hint="eastAsia" w:ascii="仿宋" w:hAnsi="仿宋" w:eastAsia="仿宋" w:cs="仿宋"/>
          <w:sz w:val="28"/>
          <w:szCs w:val="28"/>
        </w:rPr>
        <w:t>事故及损伤形式、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碰撞因素与车辆损伤分析、车身测量、车身损伤评估、修理工时确定、评估报告撰写。</w:t>
      </w:r>
    </w:p>
    <w:p>
      <w:pPr>
        <w:spacing w:line="30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本课程</w:t>
      </w:r>
      <w:r>
        <w:rPr>
          <w:rFonts w:hint="eastAsia" w:ascii="仿宋" w:hAnsi="仿宋" w:eastAsia="仿宋"/>
          <w:color w:val="000000"/>
          <w:sz w:val="28"/>
          <w:szCs w:val="28"/>
        </w:rPr>
        <w:t>实训内容包括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车身结构认识、车身变形的手工测量与电子测量</w:t>
      </w:r>
      <w:r>
        <w:rPr>
          <w:rFonts w:hint="eastAsia" w:ascii="仿宋" w:hAnsi="仿宋" w:eastAsia="仿宋"/>
          <w:color w:val="000000"/>
          <w:sz w:val="28"/>
          <w:szCs w:val="28"/>
        </w:rPr>
        <w:t>，并通过以上作业实现对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车身</w:t>
      </w:r>
      <w:r>
        <w:rPr>
          <w:rFonts w:hint="eastAsia" w:ascii="仿宋" w:hAnsi="仿宋" w:eastAsia="仿宋"/>
          <w:color w:val="000000"/>
          <w:sz w:val="28"/>
          <w:szCs w:val="28"/>
        </w:rPr>
        <w:t>部件的作用、结构以及相互连接关系的认知，能正确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识别车身结构件，了解车身变形测量方法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三、本课程与专业内其它课程的关系</w:t>
      </w:r>
    </w:p>
    <w:p>
      <w:pPr>
        <w:spacing w:line="360" w:lineRule="auto"/>
        <w:ind w:firstLine="560" w:firstLineChars="200"/>
        <w:outlineLvl w:val="1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（重点阐述本课程与专业内其它课程承上启下的关系，在课程体系中有无前置、后置课程的要求，以及对后继课程所提供的作用。200字左右）</w:t>
      </w:r>
    </w:p>
    <w:p>
      <w:pPr>
        <w:spacing w:line="360" w:lineRule="auto"/>
        <w:ind w:firstLine="560" w:firstLineChars="200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本课程是《旧机动车评估》或《二手车评估》的前置课程，是汽车汽车钣金维修专业的主要专业课程之一，并可以作为汽车维修专业、汽车制造专业、汽车营销专业的知识与技能拓展课程。</w:t>
      </w:r>
    </w:p>
    <w:p>
      <w:pPr>
        <w:spacing w:line="360" w:lineRule="auto"/>
        <w:ind w:firstLine="560" w:firstLineChars="200"/>
        <w:rPr>
          <w:rFonts w:hint="eastAsia"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四、课程的教育目标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（一）知识目标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1、掌握汽车车身结构类型与特点。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2、了解车身主要结构件与相互联接关系，能识别汽车车身结构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组成件名称、作用。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3、了解汽车车身碰撞损伤类型，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4、了解车身测量基准及应用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5、了解车身碰撞损伤评估方法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用</w:t>
      </w:r>
      <w:r>
        <w:rPr>
          <w:rFonts w:ascii="仿宋_GB2312" w:hAnsi="宋体" w:eastAsia="仿宋_GB2312"/>
          <w:color w:val="00B0F0"/>
          <w:kern w:val="0"/>
          <w:sz w:val="28"/>
          <w:szCs w:val="28"/>
        </w:rPr>
        <w:t>“了解”、“理解”、“掌握”三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个层次写明应达到的要求。</w:t>
      </w:r>
      <w:r>
        <w:rPr>
          <w:rFonts w:ascii="仿宋_GB2312" w:hAnsi="宋体" w:eastAsia="仿宋_GB2312"/>
          <w:color w:val="00B0F0"/>
          <w:kern w:val="0"/>
          <w:sz w:val="28"/>
          <w:szCs w:val="28"/>
        </w:rPr>
        <w:t>“了解”：是指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学生应能辨认的科学事实、概念、原则、术语，知道事物的分类、过程及变化倾向，包括必要的记忆。</w:t>
      </w:r>
      <w:r>
        <w:rPr>
          <w:rFonts w:ascii="仿宋_GB2312" w:hAnsi="宋体" w:eastAsia="仿宋_GB2312"/>
          <w:color w:val="00B0F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“理解”：是指学生能用自己的语言把学过的知识加以叙述、解释、归纳，并能把某一事实或概念分解为若干部分，指出它们之间的内在联系或与其它事物的相互关系。“掌握”：是指学生能根据不同情况对某些概念、定律、原理、方法等在正确理解的基础上结合事例加以运用，包括分析和综合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能力目标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1、能识别车身结构类型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2、能识别车身结构件名称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3、能使用简单量具进行车身变形的手工测量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4、能使用车身电子测量仪进行车身变形的电子测量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（三）素质目标</w:t>
      </w:r>
    </w:p>
    <w:p>
      <w:pPr>
        <w:spacing w:line="300" w:lineRule="auto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28"/>
          <w:szCs w:val="28"/>
        </w:rPr>
        <w:t>具备良好的思想品德、行为规范以及职业道德；</w:t>
      </w:r>
    </w:p>
    <w:p>
      <w:pPr>
        <w:spacing w:line="300" w:lineRule="auto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28"/>
          <w:szCs w:val="28"/>
        </w:rPr>
        <w:t>具备创新、实践、创业的综合素质；</w:t>
      </w:r>
    </w:p>
    <w:p>
      <w:pPr>
        <w:spacing w:line="300" w:lineRule="auto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color w:val="000000"/>
          <w:sz w:val="28"/>
          <w:szCs w:val="28"/>
        </w:rPr>
        <w:t>具备竞争意识、合作精神、坚强毅力；</w:t>
      </w:r>
    </w:p>
    <w:p>
      <w:pPr>
        <w:spacing w:line="300" w:lineRule="auto"/>
        <w:ind w:firstLine="140" w:firstLineChars="5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color w:val="000000"/>
          <w:sz w:val="28"/>
          <w:szCs w:val="28"/>
        </w:rPr>
        <w:t>具有健康的体魄、良好的体能和适应本岗位工作的身体素质和心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</w:t>
      </w:r>
    </w:p>
    <w:p>
      <w:pPr>
        <w:spacing w:line="300" w:lineRule="auto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理素质；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5、</w:t>
      </w:r>
      <w:r>
        <w:rPr>
          <w:rFonts w:hint="eastAsia" w:ascii="仿宋" w:hAnsi="仿宋" w:eastAsia="仿宋"/>
          <w:color w:val="000000"/>
          <w:sz w:val="28"/>
          <w:szCs w:val="28"/>
        </w:rPr>
        <w:t>具有良好的气质和形象，较强的语言与文字表达能力及人际沟通</w:t>
      </w: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能力。</w:t>
      </w:r>
    </w:p>
    <w:p>
      <w:pPr>
        <w:spacing w:line="360" w:lineRule="auto"/>
        <w:ind w:firstLine="560" w:firstLineChars="200"/>
        <w:rPr>
          <w:rFonts w:hint="eastAsia"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五、课程的教学内容与建议学时</w:t>
      </w:r>
    </w:p>
    <w:tbl>
      <w:tblPr>
        <w:tblStyle w:val="6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77"/>
        <w:gridCol w:w="1080"/>
        <w:gridCol w:w="144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  节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学时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理论学时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1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车身结构与组成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2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碰撞损伤类型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3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车身基准与检测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车身电子测量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车身碰撞损伤评估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维修工时确定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项目七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评估报告撰写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  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总  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56</w:t>
            </w:r>
          </w:p>
        </w:tc>
      </w:tr>
    </w:tbl>
    <w:p>
      <w:pPr>
        <w:widowControl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（如果该课程有实践学时，应合理的分配到相应的各个章节，实践学时要与任务清单中的课程信息一致；机动学时包含复习、考试、放假等，一般不超过4学时）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B0F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560" w:firstLineChars="200"/>
        <w:rPr>
          <w:rFonts w:hint="eastAsia"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六、课程教学设计框架</w:t>
      </w:r>
    </w:p>
    <w:tbl>
      <w:tblPr>
        <w:tblStyle w:val="6"/>
        <w:tblW w:w="13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136"/>
        <w:gridCol w:w="2520"/>
        <w:gridCol w:w="876"/>
        <w:gridCol w:w="2280"/>
        <w:gridCol w:w="165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章节名称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学习内容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建议学时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教学方法手段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与资源利用建议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9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项目一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车身结构与组成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掌握车身结构特点与组成件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车身结构类型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与主要结构件名称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多媒体辅助讲授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直观教学与考核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多媒体教室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实训工间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书面作业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单元考核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93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碰撞损伤类型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了解车身碰撞损伤类型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车身结构与碰撞损伤类型</w:t>
            </w:r>
          </w:p>
        </w:tc>
        <w:tc>
          <w:tcPr>
            <w:tcW w:w="8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2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多媒体辅助讲授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多媒体教室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9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项目三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车身手工测量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了解车身测量方法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车身测量基准与测量方法</w:t>
            </w:r>
          </w:p>
        </w:tc>
        <w:tc>
          <w:tcPr>
            <w:tcW w:w="8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280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多媒体辅助讲授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测量操作与考核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多媒体教室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实训工间</w:t>
            </w:r>
          </w:p>
        </w:tc>
        <w:tc>
          <w:tcPr>
            <w:tcW w:w="1433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9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项目四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车身电子测量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了解电子测量系统与测量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电子测量系统组成、测量过程</w:t>
            </w:r>
          </w:p>
        </w:tc>
        <w:tc>
          <w:tcPr>
            <w:tcW w:w="8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280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多媒体辅助讲授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测量操作与考核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33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93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项目五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车身碰撞估损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了解车身碰撞损伤评估方法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车身碰撞损伤类型与评估</w:t>
            </w:r>
          </w:p>
        </w:tc>
        <w:tc>
          <w:tcPr>
            <w:tcW w:w="8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多媒体辅助讲授</w:t>
            </w:r>
          </w:p>
        </w:tc>
        <w:tc>
          <w:tcPr>
            <w:tcW w:w="1656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多媒体教室</w:t>
            </w:r>
          </w:p>
        </w:tc>
        <w:tc>
          <w:tcPr>
            <w:tcW w:w="1433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93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项目六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维修工时确定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了解工时的概念与计算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工时、工时费的概念与计算</w:t>
            </w:r>
          </w:p>
        </w:tc>
        <w:tc>
          <w:tcPr>
            <w:tcW w:w="8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多媒体辅助讲授</w:t>
            </w:r>
          </w:p>
        </w:tc>
        <w:tc>
          <w:tcPr>
            <w:tcW w:w="1656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多媒体教室</w:t>
            </w:r>
          </w:p>
        </w:tc>
        <w:tc>
          <w:tcPr>
            <w:tcW w:w="1433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93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项目七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评估报告撰写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了解评估报告形式与撰写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评估报告的形式与撰写方法</w:t>
            </w:r>
          </w:p>
        </w:tc>
        <w:tc>
          <w:tcPr>
            <w:tcW w:w="87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多媒体辅助讲授</w:t>
            </w:r>
          </w:p>
        </w:tc>
        <w:tc>
          <w:tcPr>
            <w:tcW w:w="1656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多媒体教室</w:t>
            </w:r>
          </w:p>
        </w:tc>
        <w:tc>
          <w:tcPr>
            <w:tcW w:w="1433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书面作业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2520" w:header="851" w:footer="992" w:gutter="0"/>
          <w:cols w:space="720" w:num="1"/>
          <w:docGrid w:linePitch="312" w:charSpace="0"/>
        </w:sect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1.教学目标：重点阐述本章节的教学目标。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2.学习内容：突出教学内容选取的针对性—教学内容与职业标准对接、适用性—注意学生可持续发展的培养；要确保教学内容的组织，达到教学过程与生产过程的结合，做到学生学习过程与行动过程的一体。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3.教学方法手段与资源利用建议：主要包括教师的教学指导组织形式设计，如项目教学、任务驱动教学法等；课堂采用的辅助媒介等；学生的学习组织形式等方面的描述。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4.教学环境说明：主要写明教室、学习工作站、实验实训室、校园、校外实训基地等。</w:t>
      </w:r>
    </w:p>
    <w:p>
      <w:pPr>
        <w:spacing w:line="360" w:lineRule="auto"/>
        <w:ind w:left="420" w:leftChars="200" w:firstLine="140" w:firstLineChars="50"/>
        <w:rPr>
          <w:rFonts w:hint="eastAsia" w:ascii="黑体" w:hAnsi="宋体" w:eastAsia="黑体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5.考核评价：详细介绍课堂和课后作业要求，以及考核评价方式。</w:t>
      </w:r>
      <w:r>
        <w:rPr>
          <w:rFonts w:hint="eastAsia" w:ascii="黑体" w:hAnsi="宋体" w:eastAsia="黑体"/>
          <w:kern w:val="0"/>
          <w:sz w:val="28"/>
          <w:szCs w:val="28"/>
        </w:rPr>
        <w:t>七、课内实验大纲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2880"/>
        <w:gridCol w:w="540"/>
        <w:gridCol w:w="900"/>
        <w:gridCol w:w="90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实验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分组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实验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属性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实验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车身结构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组成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车身主要结构组成件的认识</w:t>
            </w: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综合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车身变形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测量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车身变形手工测量</w:t>
            </w: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综合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必做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车身变形电子测量与校正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车身变形电子测量与校正</w:t>
            </w: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综合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必做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ascii="仿宋_GB2312" w:hAnsi="宋体" w:eastAsia="仿宋_GB2312"/>
          <w:color w:val="00B0F0"/>
          <w:kern w:val="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.实</w:t>
      </w:r>
      <w:r>
        <w:rPr>
          <w:rFonts w:ascii="仿宋_GB2312" w:hAnsi="宋体" w:eastAsia="仿宋_GB2312"/>
          <w:color w:val="00B0F0"/>
          <w:kern w:val="0"/>
          <w:sz w:val="28"/>
          <w:szCs w:val="28"/>
        </w:rPr>
        <w:t>验属性指：验证或综合或设计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2.实</w:t>
      </w:r>
      <w:r>
        <w:rPr>
          <w:rFonts w:ascii="仿宋_GB2312" w:hAnsi="宋体" w:eastAsia="仿宋_GB2312"/>
          <w:color w:val="00B0F0"/>
          <w:kern w:val="0"/>
          <w:sz w:val="28"/>
          <w:szCs w:val="28"/>
        </w:rPr>
        <w:t>验要求指：必做或选做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B0F0"/>
          <w:szCs w:val="21"/>
        </w:rPr>
        <w:t xml:space="preserve"> 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本内容限于</w:t>
      </w:r>
      <w:r>
        <w:rPr>
          <w:rFonts w:ascii="仿宋_GB2312" w:hAnsi="宋体" w:eastAsia="仿宋_GB2312"/>
          <w:color w:val="00B0F0"/>
          <w:kern w:val="0"/>
          <w:sz w:val="28"/>
          <w:szCs w:val="28"/>
        </w:rPr>
        <w:t>有实验内容但在教学计划中不独立设课的课程填写</w:t>
      </w: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，如果该课程没有实验环节，则可取消本节内容，将下一节“教学基本条件”改为第七点。</w:t>
      </w:r>
    </w:p>
    <w:p>
      <w:pPr>
        <w:spacing w:line="360" w:lineRule="auto"/>
        <w:ind w:firstLine="560" w:firstLineChars="200"/>
        <w:rPr>
          <w:rFonts w:hint="eastAsia"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八、教学基本条件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（一）对教师的基本要求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熟悉本学科的教学大纲，教学基本要求，了解教材的内容和各章节在每册教材中的地位，掌握教材中的重点章节和重点内容，对教材中的习题能做出正确、规范的解答。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（1）良好的教育教学素质（具备汽车专业专科及以上学历、中级及以上职称）；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（2）专业理论与专业技能一体化能力（具备汽车维修技师及以上等级职业资格证）；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（3）较强的职业创新能力和专业发展能力；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本专业课采取项目引领、任务驱动的教学方法，推行小组合作学习。以学生为中心，教师是学生学习资源的设计和提供者，组织安排学生完成学习工作任务，在学生的学习过程中起到指导的作用。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对教学环境的要求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实训室的建设要兼顾到理论教学与实训教学的关系，所以实训室应配备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黑板或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白板、投影仪、幕布、扩音器和可书写的座椅，使学生站着可上实训课，坐着可上理论课。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120～150㎡的</w:t>
      </w:r>
      <w:r>
        <w:rPr>
          <w:rFonts w:hint="eastAsia" w:ascii="仿宋" w:hAnsi="仿宋" w:eastAsia="仿宋" w:cs="宋体"/>
          <w:color w:val="000000"/>
          <w:sz w:val="28"/>
          <w:szCs w:val="28"/>
          <w:lang w:val="zh-CN"/>
        </w:rPr>
        <w:t>学习工作站，配备相应的通风、采光、排气、防盗、上下水、消防、电力设施设备，能满足教学设备搬运要求。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</w:rPr>
      </w:pP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对教学资源的要求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1、完成防锈涂装的车身总成2个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2、车身校正台一个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3、车身电子测量仪一台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4、车身滑臂测量尺二个；钢卷尺、钢直尺各5个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5、企业工时结算清单、评估报告模版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6、清洁用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毛巾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若干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劳保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手套若干。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对学生基础能力的要求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学生应该具有初中及以上文化程度，具有初步的汽车结构常识，对具有空间结构的物体产生变形有认识，并能进行尺寸测量。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具备良好的思想品德、行为规范以及职业道德、独立生活、思考能力，发现和解决问题的能力，较好的动手操作能力。</w:t>
      </w:r>
      <w:r>
        <w:rPr>
          <w:rFonts w:hint="eastAsia" w:ascii="仿宋_GB2312" w:hAnsi="宋体" w:eastAsia="仿宋_GB2312"/>
          <w:kern w:val="0"/>
          <w:sz w:val="28"/>
          <w:szCs w:val="28"/>
        </w:rPr>
        <w:t>需团队配合讨论，同时需具备团队协作能力，每个小组需1-2名学生具备展示能力。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（重点阐述开课时学生应具备的基本知识点和技能点。150字左右）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考核方式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本课程为考查课程。</w:t>
      </w:r>
    </w:p>
    <w:p>
      <w:pPr>
        <w:spacing w:line="300" w:lineRule="auto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1.成绩生成原则：</w:t>
      </w:r>
    </w:p>
    <w:p>
      <w:pPr>
        <w:spacing w:line="30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坚持以教师评价为主，学生评价为辅，过程性评价为主，终结性评价为辅的原则，客观反应学生在本课程学习状况。</w:t>
      </w:r>
    </w:p>
    <w:p>
      <w:pPr>
        <w:spacing w:line="300" w:lineRule="auto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2.评价内容：</w:t>
      </w:r>
    </w:p>
    <w:p>
      <w:pPr>
        <w:spacing w:line="30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专业能力，包括本课程讲授的理论知识与实作技能；</w:t>
      </w:r>
    </w:p>
    <w:p>
      <w:pPr>
        <w:spacing w:line="30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社会能力，在团队完成实训任务过程中学生所表现出的组织、协调、沟通等能力。</w:t>
      </w:r>
    </w:p>
    <w:p>
      <w:pPr>
        <w:numPr>
          <w:ilvl w:val="0"/>
          <w:numId w:val="4"/>
        </w:numPr>
        <w:spacing w:line="300" w:lineRule="auto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评价方法：</w:t>
      </w:r>
    </w:p>
    <w:p>
      <w:pPr>
        <w:spacing w:line="360" w:lineRule="auto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/>
          <w:color w:val="000000"/>
          <w:sz w:val="28"/>
          <w:szCs w:val="28"/>
        </w:rPr>
        <w:t>由教师对学生进行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课程的全过程考核。</w:t>
      </w:r>
    </w:p>
    <w:p>
      <w:pPr>
        <w:spacing w:line="360" w:lineRule="auto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2）期末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成绩包括平时成绩与技能考核成绩两个部分构成。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>平时成绩占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8"/>
          <w:szCs w:val="28"/>
        </w:rPr>
        <w:t>0%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>技能考核成绩占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8"/>
          <w:szCs w:val="28"/>
        </w:rPr>
        <w:t>0%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平时成绩由作业、实习报告成绩、纪律与出勤状况构成。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作业、实习报告成绩占40%、纪律与出勤10%。</w:t>
      </w:r>
    </w:p>
    <w:p>
      <w:pPr>
        <w:spacing w:line="360" w:lineRule="auto"/>
        <w:rPr>
          <w:rFonts w:hint="eastAsia" w:ascii="仿宋_GB2312" w:hAnsi="宋体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技能考核成绩由教学中的多个单元考核成绩构成并进行总评。</w:t>
      </w:r>
    </w:p>
    <w:p>
      <w:pPr>
        <w:spacing w:line="360" w:lineRule="auto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单元考核成绩包括：学生的操作技能占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80%；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协作能力与交流沟通能力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20%。</w:t>
      </w:r>
    </w:p>
    <w:p>
      <w:pPr>
        <w:numPr>
          <w:ilvl w:val="0"/>
          <w:numId w:val="0"/>
        </w:numPr>
        <w:spacing w:line="300" w:lineRule="auto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（重点阐述课程结束后所采用的考核方式，考试课程介绍试卷套数，如A/B卷，试题类型等；考查课程介绍考核形式，如开卷、口试、机试、设计、大型作业、撰写论文（报告）、实践操作、组合形式、以证代考、作业考核（作业、出勤、上课回答问题等）、职业现场考核（仿真为主）、其他形式等。150字左右）</w:t>
      </w:r>
    </w:p>
    <w:p>
      <w:pPr>
        <w:numPr>
          <w:ilvl w:val="0"/>
          <w:numId w:val="6"/>
        </w:numPr>
        <w:spacing w:line="360" w:lineRule="auto"/>
        <w:ind w:firstLine="560" w:firstLineChars="200"/>
        <w:outlineLvl w:val="1"/>
        <w:rPr>
          <w:rFonts w:hint="eastAsia"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课程标准实施说明</w:t>
      </w:r>
    </w:p>
    <w:p>
      <w:pPr>
        <w:numPr>
          <w:ilvl w:val="0"/>
          <w:numId w:val="0"/>
        </w:numPr>
        <w:spacing w:line="360" w:lineRule="auto"/>
        <w:outlineLvl w:val="1"/>
        <w:rPr>
          <w:rFonts w:hint="eastAsia" w:ascii="黑体" w:hAnsi="宋体" w:eastAsia="黑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kern w:val="0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ind w:firstLine="560" w:firstLineChars="200"/>
        <w:outlineLvl w:val="1"/>
        <w:rPr>
          <w:rFonts w:hint="eastAsia" w:ascii="仿宋_GB2312" w:hAnsi="宋体" w:eastAsia="仿宋_GB2312"/>
          <w:color w:val="00B0F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B0F0"/>
          <w:kern w:val="0"/>
          <w:sz w:val="28"/>
          <w:szCs w:val="28"/>
        </w:rPr>
        <w:t>（重点阐述课程标准的实施时间，如从2015年9月执行；建议教材和参考资料，以及上述内容未尽事宜。）</w:t>
      </w:r>
    </w:p>
    <w:p>
      <w:pPr>
        <w:spacing w:line="360" w:lineRule="auto"/>
        <w:ind w:firstLine="560" w:firstLineChars="200"/>
        <w:outlineLvl w:val="1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本课程标准实施时间从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2018年3月试行。</w:t>
      </w:r>
    </w:p>
    <w:p>
      <w:pPr>
        <w:tabs>
          <w:tab w:val="left" w:pos="7250"/>
        </w:tabs>
        <w:spacing w:line="360" w:lineRule="auto"/>
        <w:ind w:firstLine="560" w:firstLineChars="200"/>
        <w:outlineLvl w:val="1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建议教材为人民交通出版社2015年高职版《汽车车身碰撞估损》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528" w:type="dxa"/>
            <w:textDirection w:val="lrTb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教学实施建议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8528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学习组织形式与方法</w:t>
            </w:r>
          </w:p>
          <w:p>
            <w:pPr>
              <w:spacing w:line="300" w:lineRule="auto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采取项目引领、任务驱动的教学方法，推行小组合作学习。以学生为中心，教师是学生学习资源的设计和提供者，组织安排学生完成学习工作任务，在学生的学习过程中起到指导的作用。教师布置学习工作任务，为学生提供咨询服务，引导学生观察问题、发现问题，培养学生分析问题、解决问题的能力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教学条件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（一）对教师的基本要求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熟悉本学科的教学大纲，教学基本要求，了解教材的内容和各章节在每册教材中的地位，掌握教材中的重点章节和重点内容，对教材中的习题能做出正确、规范的解答。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（1）良好的教育教学素质（具备汽车专业专科及以上学历、中级及以上职称）；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（2）专业理论与专业技能一体化能力（具备汽车维修技师及以上等级职业资格证）；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（3）较强的职业创新能力和专业发展能力；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本专业课采取项目引领、任务驱动的教学方法，推行小组合作学习。以学生为中心，教师是学生学习资源的设计和提供者，组织安排学生完成学习工作任务，在学生的学习过程中起到指导的作用。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（二）对教学环境的要求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实训室的建设要兼顾到理论教学与实训教学的关系，所以实训室应配备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黑板或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白板、投影仪、幕布、计算机、扩音器和可书写的座椅，使学生站着可上实训课，坐着可上理论课。</w:t>
            </w:r>
          </w:p>
          <w:p>
            <w:pPr>
              <w:numPr>
                <w:ilvl w:val="0"/>
                <w:numId w:val="8"/>
              </w:num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对教学资源的要求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轿车整车二辆，举升机二台，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1～2种类型的离合器总成5～10台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桑塔纳手动变速器 5～10台，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典型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自动变速器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共10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0台，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球笼万向节20个，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东风转向桥总成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2～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4台，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东风主减差速器总成5～10台，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液压动力转向教学台架2～3台，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制动系教学台架2～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台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ABS教学台架2～3台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车轮动平衡机1～2台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四轮定位仪1台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工具车、零件车各10辆，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工具柜、零件柜各2只，工作台2个，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自动变速器拆装工具12套，通用工具20套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量具20套，万用表20只，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故障诊断仪1部，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示波器1部，压力表各2套，毛巾、手套若干。</w:t>
            </w:r>
          </w:p>
          <w:p>
            <w:pPr>
              <w:spacing w:line="300" w:lineRule="auto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（四）对学生基础能力的要求 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具备良好的思想品德、行为规范以及职业道德、独立生活、思考能力，发现和解决问题的能力，较好的动手操作能力。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需团队配合讨论，同时需具备团队协作能力，每个小组需1-2名学生具备展示能力。</w:t>
            </w:r>
          </w:p>
          <w:p>
            <w:pPr>
              <w:numPr>
                <w:ilvl w:val="0"/>
                <w:numId w:val="7"/>
              </w:num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教学场地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120～150㎡的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zh-CN"/>
              </w:rPr>
              <w:t>学习工作站，配备相应的通风、采光、排气、防盗、上下水、消防、电力设施设备，能满足教学设备搬运要求。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8528" w:type="dxa"/>
            <w:textDirection w:val="lrTb"/>
            <w:vAlign w:val="center"/>
          </w:tcPr>
          <w:tbl>
            <w:tblPr>
              <w:tblStyle w:val="6"/>
              <w:tblW w:w="852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8528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hint="eastAsia" w:ascii="仿宋" w:hAnsi="仿宋" w:eastAsia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color w:val="000000"/>
                      <w:sz w:val="28"/>
                      <w:szCs w:val="28"/>
                    </w:rPr>
                    <w:t>教学考核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8528" w:type="dxa"/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1.成绩生成原则：</w:t>
                  </w:r>
                </w:p>
                <w:p>
                  <w:pPr>
                    <w:spacing w:line="300" w:lineRule="auto"/>
                    <w:ind w:firstLine="560" w:firstLineChars="200"/>
                    <w:jc w:val="left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坚持以教师评价为主，学生评价为辅，过程性评价为主，终结性评价为辅的原则，客观反应学生在本课程学习状况。</w:t>
                  </w:r>
                </w:p>
                <w:p>
                  <w:pPr>
                    <w:spacing w:line="300" w:lineRule="auto"/>
                    <w:jc w:val="left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2.评价内容：</w:t>
                  </w:r>
                </w:p>
                <w:p>
                  <w:pPr>
                    <w:spacing w:line="300" w:lineRule="auto"/>
                    <w:ind w:firstLine="560" w:firstLineChars="200"/>
                    <w:jc w:val="left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专业能力，包括本课程讲授的理论知识与实作技能；</w:t>
                  </w:r>
                </w:p>
                <w:p>
                  <w:pPr>
                    <w:spacing w:line="300" w:lineRule="auto"/>
                    <w:ind w:firstLine="560" w:firstLineChars="200"/>
                    <w:jc w:val="left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社会能力，在团队完成实训任务过程中学生所表现出的组织、协调、沟通等能力。</w:t>
                  </w:r>
                </w:p>
                <w:p>
                  <w:pPr>
                    <w:spacing w:line="300" w:lineRule="auto"/>
                    <w:jc w:val="left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3.评价方法：</w:t>
                  </w:r>
                </w:p>
                <w:p>
                  <w:pPr>
                    <w:spacing w:line="360" w:lineRule="auto"/>
                    <w:ind w:firstLine="560" w:firstLineChars="200"/>
                    <w:rPr>
                      <w:rFonts w:hint="eastAsia" w:ascii="仿宋_GB2312" w:hAnsi="宋体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由教师对学生进行专业能力评价，它包括通过作业对学生进行理论知识评价，以及在完成实训任务过程中对学生的实践技能评价两部分构成，</w:t>
                  </w:r>
                  <w:r>
                    <w:rPr>
                      <w:rFonts w:hint="eastAsia" w:ascii="仿宋_GB2312" w:hAnsi="宋体" w:eastAsia="仿宋_GB2312"/>
                      <w:kern w:val="0"/>
                      <w:sz w:val="28"/>
                      <w:szCs w:val="28"/>
                    </w:rPr>
                    <w:t>平时成绩占60%（平时成绩包括：到课率，项目测验，实习报告册，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实训任务过程</w:t>
                  </w:r>
                  <w:r>
                    <w:rPr>
                      <w:rFonts w:hint="eastAsia" w:ascii="仿宋_GB2312" w:hAnsi="宋体" w:eastAsia="仿宋_GB2312"/>
                      <w:kern w:val="0"/>
                      <w:sz w:val="28"/>
                      <w:szCs w:val="28"/>
                    </w:rPr>
                    <w:t>），技能考核成绩占40%</w:t>
                  </w:r>
                  <w:r>
                    <w:rPr>
                      <w:rFonts w:hint="eastAsia" w:ascii="仿宋_GB2312" w:hAnsi="宋体" w:eastAsia="仿宋_GB2312"/>
                      <w:kern w:val="0"/>
                      <w:sz w:val="28"/>
                      <w:szCs w:val="28"/>
                      <w:lang w:eastAsia="zh-CN"/>
                    </w:rPr>
                    <w:t>。</w:t>
                  </w:r>
                </w:p>
                <w:p>
                  <w:pPr>
                    <w:spacing w:line="300" w:lineRule="auto"/>
                    <w:ind w:firstLine="560" w:firstLineChars="200"/>
                    <w:jc w:val="left"/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2D99"/>
    <w:multiLevelType w:val="singleLevel"/>
    <w:tmpl w:val="58422D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43807C"/>
    <w:multiLevelType w:val="singleLevel"/>
    <w:tmpl w:val="5843807C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902E6BF"/>
    <w:multiLevelType w:val="singleLevel"/>
    <w:tmpl w:val="5902E6BF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02F2B9"/>
    <w:multiLevelType w:val="singleLevel"/>
    <w:tmpl w:val="5902F2B9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90308BE"/>
    <w:multiLevelType w:val="singleLevel"/>
    <w:tmpl w:val="590308BE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590316C1"/>
    <w:multiLevelType w:val="singleLevel"/>
    <w:tmpl w:val="590316C1"/>
    <w:lvl w:ilvl="0" w:tentative="0">
      <w:start w:val="9"/>
      <w:numFmt w:val="chineseCounting"/>
      <w:suff w:val="nothing"/>
      <w:lvlText w:val="%1、"/>
      <w:lvlJc w:val="left"/>
    </w:lvl>
  </w:abstractNum>
  <w:abstractNum w:abstractNumId="6">
    <w:nsid w:val="59127489"/>
    <w:multiLevelType w:val="singleLevel"/>
    <w:tmpl w:val="59127489"/>
    <w:lvl w:ilvl="0" w:tentative="0">
      <w:start w:val="3"/>
      <w:numFmt w:val="decimal"/>
      <w:suff w:val="nothing"/>
      <w:lvlText w:val="%1）"/>
      <w:lvlJc w:val="left"/>
    </w:lvl>
  </w:abstractNum>
  <w:abstractNum w:abstractNumId="7">
    <w:nsid w:val="59128308"/>
    <w:multiLevelType w:val="singleLevel"/>
    <w:tmpl w:val="59128308"/>
    <w:lvl w:ilvl="0" w:tentative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45C5"/>
    <w:rsid w:val="060F04A6"/>
    <w:rsid w:val="07A36C4D"/>
    <w:rsid w:val="081D4539"/>
    <w:rsid w:val="09207D03"/>
    <w:rsid w:val="0B5D42A5"/>
    <w:rsid w:val="0E7A0ED1"/>
    <w:rsid w:val="1334693B"/>
    <w:rsid w:val="198C41EF"/>
    <w:rsid w:val="20925CE0"/>
    <w:rsid w:val="21C10FB9"/>
    <w:rsid w:val="22D9255E"/>
    <w:rsid w:val="2DC24AF4"/>
    <w:rsid w:val="37A222AD"/>
    <w:rsid w:val="38DE7E3C"/>
    <w:rsid w:val="3DC050E1"/>
    <w:rsid w:val="41943917"/>
    <w:rsid w:val="471C32CD"/>
    <w:rsid w:val="57AE7278"/>
    <w:rsid w:val="59CA683B"/>
    <w:rsid w:val="5ED619BA"/>
    <w:rsid w:val="614710B7"/>
    <w:rsid w:val="61CD31F2"/>
    <w:rsid w:val="62511D6B"/>
    <w:rsid w:val="660D5E2C"/>
    <w:rsid w:val="689A4407"/>
    <w:rsid w:val="693B2BB6"/>
    <w:rsid w:val="6AB66C70"/>
    <w:rsid w:val="6BDE40A0"/>
    <w:rsid w:val="72DF3895"/>
    <w:rsid w:val="753D256D"/>
    <w:rsid w:val="7AC24F30"/>
    <w:rsid w:val="7BA34134"/>
    <w:rsid w:val="7D534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600" w:firstLineChars="200"/>
    </w:pPr>
    <w:rPr>
      <w:rFonts w:ascii="仿宋_GB2312" w:hAnsi="宋体" w:eastAsia="仿宋_GB2312"/>
      <w:bCs/>
      <w:color w:val="000000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2017-06-10T06:34:52Z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